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6017B" w14:textId="1F2F5ED4" w:rsidR="00652A8B" w:rsidRPr="002E40EA" w:rsidRDefault="00652A8B" w:rsidP="00652A8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2E40EA">
        <w:rPr>
          <w:b/>
          <w:sz w:val="24"/>
        </w:rPr>
        <w:t>3GPP SA3LI#</w:t>
      </w:r>
      <w:r w:rsidR="00936152" w:rsidRPr="002E40EA">
        <w:rPr>
          <w:b/>
          <w:sz w:val="24"/>
        </w:rPr>
        <w:t>90</w:t>
      </w:r>
      <w:r w:rsidRPr="002E40EA">
        <w:rPr>
          <w:b/>
          <w:i/>
          <w:sz w:val="28"/>
        </w:rPr>
        <w:tab/>
        <w:t>s3i230</w:t>
      </w:r>
      <w:r w:rsidR="00955E72" w:rsidRPr="002E40EA">
        <w:rPr>
          <w:b/>
          <w:i/>
          <w:sz w:val="28"/>
        </w:rPr>
        <w:t>357</w:t>
      </w:r>
    </w:p>
    <w:p w14:paraId="3D63950A" w14:textId="6684BA29" w:rsidR="00652A8B" w:rsidRPr="002E40EA" w:rsidRDefault="00936152" w:rsidP="00652A8B">
      <w:pPr>
        <w:pStyle w:val="CRCoverPage"/>
        <w:outlineLvl w:val="0"/>
        <w:rPr>
          <w:b/>
          <w:sz w:val="24"/>
        </w:rPr>
      </w:pPr>
      <w:r w:rsidRPr="002E40EA">
        <w:rPr>
          <w:b/>
          <w:sz w:val="24"/>
        </w:rPr>
        <w:t>27-30 June</w:t>
      </w:r>
      <w:r w:rsidR="00652A8B" w:rsidRPr="002E40EA">
        <w:rPr>
          <w:b/>
          <w:sz w:val="24"/>
        </w:rPr>
        <w:t xml:space="preserve"> 2023, </w:t>
      </w:r>
      <w:r w:rsidRPr="002E40EA">
        <w:rPr>
          <w:b/>
          <w:sz w:val="24"/>
        </w:rPr>
        <w:t>Prague (Czech Repu</w:t>
      </w:r>
      <w:r w:rsidR="00555BEA" w:rsidRPr="002E40EA">
        <w:rPr>
          <w:b/>
          <w:sz w:val="24"/>
        </w:rPr>
        <w:t>blic)</w:t>
      </w:r>
    </w:p>
    <w:p w14:paraId="71358E30" w14:textId="77777777" w:rsidR="00EB0942" w:rsidRPr="002E40EA" w:rsidRDefault="00EB0942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 w:rsidRPr="002E40EA">
        <w:rPr>
          <w:rFonts w:ascii="Arial" w:hAnsi="Arial" w:cs="Arial"/>
          <w:b/>
          <w:sz w:val="24"/>
        </w:rPr>
        <w:tab/>
      </w:r>
    </w:p>
    <w:p w14:paraId="2E9CB668" w14:textId="751BCDEF" w:rsidR="00EB0942" w:rsidRPr="002E40EA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2E40EA">
        <w:rPr>
          <w:rFonts w:ascii="Arial" w:eastAsia="MS Mincho" w:hAnsi="Arial"/>
          <w:b/>
          <w:lang w:eastAsia="ja-JP"/>
        </w:rPr>
        <w:t>Source:</w:t>
      </w:r>
      <w:r w:rsidRPr="002E40EA">
        <w:rPr>
          <w:rFonts w:ascii="Arial" w:eastAsia="MS Mincho" w:hAnsi="Arial"/>
          <w:b/>
          <w:lang w:eastAsia="ja-JP"/>
        </w:rPr>
        <w:tab/>
      </w:r>
      <w:r w:rsidR="009F5465" w:rsidRPr="002E40EA">
        <w:rPr>
          <w:rFonts w:ascii="Arial" w:eastAsia="MS Mincho" w:hAnsi="Arial"/>
          <w:b/>
          <w:lang w:eastAsia="ja-JP"/>
        </w:rPr>
        <w:t>Rapporteur ETSI TC LI</w:t>
      </w:r>
    </w:p>
    <w:p w14:paraId="4D0E8E12" w14:textId="758C74A1" w:rsidR="00EB0942" w:rsidRPr="002E40EA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2E40EA">
        <w:rPr>
          <w:rFonts w:ascii="Arial" w:eastAsia="MS Mincho" w:hAnsi="Arial"/>
          <w:b/>
          <w:lang w:eastAsia="ja-JP"/>
        </w:rPr>
        <w:t>Title:</w:t>
      </w:r>
      <w:r w:rsidRPr="002E40EA">
        <w:rPr>
          <w:rFonts w:ascii="Arial" w:eastAsia="MS Mincho" w:hAnsi="Arial"/>
          <w:b/>
          <w:lang w:eastAsia="ja-JP"/>
        </w:rPr>
        <w:tab/>
      </w:r>
      <w:r w:rsidR="009F5465" w:rsidRPr="002E40EA">
        <w:rPr>
          <w:rFonts w:ascii="Arial" w:eastAsia="MS Mincho" w:hAnsi="Arial"/>
          <w:b/>
          <w:lang w:eastAsia="ja-JP"/>
        </w:rPr>
        <w:t>Summary report of ETSI TC LI</w:t>
      </w:r>
    </w:p>
    <w:p w14:paraId="426D1DA8" w14:textId="60583C1F" w:rsidR="00EB0942" w:rsidRPr="002E40EA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2E40EA">
        <w:rPr>
          <w:rFonts w:ascii="Arial" w:eastAsia="MS Mincho" w:hAnsi="Arial"/>
          <w:b/>
          <w:lang w:eastAsia="ja-JP"/>
        </w:rPr>
        <w:t>Document for:</w:t>
      </w:r>
      <w:r w:rsidRPr="002E40EA">
        <w:rPr>
          <w:rFonts w:ascii="Arial" w:eastAsia="MS Mincho" w:hAnsi="Arial"/>
          <w:b/>
          <w:lang w:eastAsia="ja-JP"/>
        </w:rPr>
        <w:tab/>
      </w:r>
      <w:r w:rsidR="009F5465" w:rsidRPr="002E40EA">
        <w:rPr>
          <w:rFonts w:ascii="Arial" w:eastAsia="MS Mincho" w:hAnsi="Arial"/>
          <w:b/>
          <w:lang w:eastAsia="ja-JP"/>
        </w:rPr>
        <w:t>Information</w:t>
      </w:r>
    </w:p>
    <w:p w14:paraId="6F179D0E" w14:textId="3B34C751" w:rsidR="00EB0942" w:rsidRPr="002E40EA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2E40EA">
        <w:rPr>
          <w:rFonts w:ascii="Arial" w:eastAsia="MS Mincho" w:hAnsi="Arial"/>
          <w:b/>
          <w:lang w:eastAsia="ja-JP"/>
        </w:rPr>
        <w:t>Agenda Item:</w:t>
      </w:r>
      <w:r w:rsidRPr="002E40EA">
        <w:rPr>
          <w:rFonts w:ascii="Arial" w:eastAsia="MS Mincho" w:hAnsi="Arial"/>
          <w:b/>
          <w:lang w:eastAsia="ja-JP"/>
        </w:rPr>
        <w:tab/>
      </w:r>
      <w:r w:rsidR="001A2D80" w:rsidRPr="002E40EA">
        <w:rPr>
          <w:rFonts w:ascii="Arial" w:eastAsia="MS Mincho" w:hAnsi="Arial"/>
          <w:b/>
          <w:lang w:eastAsia="ja-JP"/>
        </w:rPr>
        <w:t>4</w:t>
      </w:r>
      <w:r w:rsidR="009F5465" w:rsidRPr="002E40EA">
        <w:rPr>
          <w:rFonts w:ascii="Arial" w:eastAsia="MS Mincho" w:hAnsi="Arial"/>
          <w:b/>
          <w:lang w:eastAsia="ja-JP"/>
        </w:rPr>
        <w:t>.3</w:t>
      </w:r>
    </w:p>
    <w:p w14:paraId="77F118EB" w14:textId="77777777" w:rsidR="00EB0942" w:rsidRPr="002E40EA" w:rsidRDefault="00EB0942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2E40EA">
        <w:rPr>
          <w:rFonts w:ascii="Arial" w:eastAsia="MS Mincho" w:hAnsi="Arial"/>
          <w:b/>
          <w:lang w:eastAsia="ja-JP"/>
        </w:rPr>
        <w:t>Work Item / Release:</w:t>
      </w:r>
      <w:r w:rsidRPr="002E40EA">
        <w:rPr>
          <w:rFonts w:ascii="Arial" w:eastAsia="MS Mincho" w:hAnsi="Arial"/>
          <w:b/>
          <w:lang w:eastAsia="ja-JP"/>
        </w:rPr>
        <w:tab/>
      </w:r>
    </w:p>
    <w:p w14:paraId="7755F2DE" w14:textId="76FC40FA" w:rsidR="00EB0942" w:rsidRPr="002E40EA" w:rsidRDefault="00EB0942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 w:rsidRPr="002E40EA">
        <w:rPr>
          <w:rFonts w:ascii="Arial" w:eastAsia="MS Mincho" w:hAnsi="Arial"/>
          <w:i/>
          <w:lang w:eastAsia="ja-JP"/>
        </w:rPr>
        <w:t>Abstract of the contribution:</w:t>
      </w:r>
      <w:r w:rsidR="009F5465" w:rsidRPr="002E40EA">
        <w:rPr>
          <w:rFonts w:ascii="Arial" w:eastAsia="MS Mincho" w:hAnsi="Arial"/>
          <w:i/>
          <w:lang w:eastAsia="ja-JP"/>
        </w:rPr>
        <w:t xml:space="preserve"> Description of activities from ETSI TC LI in their last meetings</w:t>
      </w:r>
    </w:p>
    <w:p w14:paraId="37532676" w14:textId="77777777" w:rsidR="00EB0942" w:rsidRPr="002E40EA" w:rsidRDefault="00EB0942">
      <w:pPr>
        <w:pBdr>
          <w:bottom w:val="single" w:sz="6" w:space="1" w:color="auto"/>
        </w:pBdr>
        <w:rPr>
          <w:rFonts w:ascii="Arial" w:hAnsi="Arial"/>
          <w:b/>
        </w:rPr>
      </w:pPr>
    </w:p>
    <w:p w14:paraId="38B491BD" w14:textId="77777777" w:rsidR="009F5465" w:rsidRPr="002E40EA" w:rsidRDefault="009F5465" w:rsidP="009F5465">
      <w:pPr>
        <w:spacing w:after="0"/>
        <w:rPr>
          <w:b/>
          <w:i/>
        </w:rPr>
      </w:pPr>
      <w:r w:rsidRPr="002E40EA">
        <w:rPr>
          <w:b/>
          <w:i/>
        </w:rPr>
        <w:t>Introduction</w:t>
      </w:r>
    </w:p>
    <w:p w14:paraId="0247DEF9" w14:textId="41051D98" w:rsidR="009F5465" w:rsidRPr="002E40EA" w:rsidRDefault="009F5465" w:rsidP="009F5465">
      <w:pPr>
        <w:spacing w:after="240"/>
      </w:pPr>
      <w:r w:rsidRPr="002E40EA">
        <w:t>Since SA3LI#8</w:t>
      </w:r>
      <w:r w:rsidR="00955E72" w:rsidRPr="002E40EA">
        <w:t xml:space="preserve">9 in April 2023 in Washington, </w:t>
      </w:r>
      <w:r w:rsidRPr="002E40EA">
        <w:t xml:space="preserve">there </w:t>
      </w:r>
      <w:r w:rsidR="00955E72" w:rsidRPr="002E40EA">
        <w:t xml:space="preserve">was an </w:t>
      </w:r>
      <w:r w:rsidRPr="002E40EA">
        <w:t>ETSI TC LI#6</w:t>
      </w:r>
      <w:r w:rsidR="00955E72" w:rsidRPr="002E40EA">
        <w:t>3</w:t>
      </w:r>
      <w:r w:rsidRPr="002E40EA">
        <w:t xml:space="preserve"> </w:t>
      </w:r>
      <w:r w:rsidR="00254921" w:rsidRPr="002E40EA">
        <w:t>p</w:t>
      </w:r>
      <w:r w:rsidRPr="002E40EA">
        <w:t xml:space="preserve">lenary in </w:t>
      </w:r>
      <w:r w:rsidR="00955E72" w:rsidRPr="002E40EA">
        <w:t>Rome, Itally</w:t>
      </w:r>
      <w:r w:rsidRPr="002E40EA">
        <w:t xml:space="preserve"> from </w:t>
      </w:r>
      <w:r w:rsidR="00955E72" w:rsidRPr="002E40EA">
        <w:t xml:space="preserve">20 </w:t>
      </w:r>
      <w:r w:rsidRPr="002E40EA">
        <w:t>to 2</w:t>
      </w:r>
      <w:r w:rsidR="00955E72" w:rsidRPr="002E40EA">
        <w:t>2 June</w:t>
      </w:r>
      <w:r w:rsidRPr="002E40EA">
        <w:t xml:space="preserve"> 2023 and several conference calls.</w:t>
      </w:r>
    </w:p>
    <w:p w14:paraId="38C370E8" w14:textId="69D28688" w:rsidR="009F5465" w:rsidRPr="002E40EA" w:rsidRDefault="001A2D80" w:rsidP="009F5465">
      <w:pPr>
        <w:spacing w:after="0"/>
        <w:rPr>
          <w:b/>
          <w:i/>
        </w:rPr>
      </w:pPr>
      <w:r w:rsidRPr="002E40EA">
        <w:rPr>
          <w:b/>
          <w:i/>
        </w:rPr>
        <w:t>New Work Items</w:t>
      </w:r>
    </w:p>
    <w:p w14:paraId="3CCF426F" w14:textId="4C8005CB" w:rsidR="009F5465" w:rsidRPr="002E40EA" w:rsidRDefault="009F5465" w:rsidP="009F5465">
      <w:pPr>
        <w:spacing w:after="0"/>
        <w:rPr>
          <w:sz w:val="10"/>
          <w:szCs w:val="10"/>
          <w:highlight w:val="green"/>
        </w:rPr>
      </w:pPr>
    </w:p>
    <w:p w14:paraId="0968B483" w14:textId="7C50A40D" w:rsidR="00D248B2" w:rsidRPr="002E40EA" w:rsidRDefault="00D248B2" w:rsidP="009F5465">
      <w:pPr>
        <w:spacing w:after="0"/>
        <w:rPr>
          <w:i/>
        </w:rPr>
      </w:pPr>
      <w:r w:rsidRPr="002E40EA">
        <w:rPr>
          <w:i/>
        </w:rPr>
        <w:t>Interface for Lawful Disclosure of vehicle-related data</w:t>
      </w:r>
    </w:p>
    <w:p w14:paraId="666B2D49" w14:textId="3A899A5F" w:rsidR="001A2D80" w:rsidRPr="002E40EA" w:rsidRDefault="001A2D80" w:rsidP="009F5465">
      <w:pPr>
        <w:spacing w:after="0"/>
      </w:pPr>
      <w:r w:rsidRPr="002E40EA">
        <w:t xml:space="preserve">After two TRs on vehicle data that investigated </w:t>
      </w:r>
      <w:r w:rsidR="00165D2C" w:rsidRPr="002E40EA">
        <w:t xml:space="preserve">posibilities to work together with car industry a next step is made to define together with car industry a TS describing an </w:t>
      </w:r>
      <w:r w:rsidR="00165D2C" w:rsidRPr="00FC1E56">
        <w:rPr>
          <w:i/>
        </w:rPr>
        <w:t>Interface for Lawful Disclosure of vehicle-related data</w:t>
      </w:r>
      <w:r w:rsidR="00165D2C" w:rsidRPr="002E40EA">
        <w:t>.</w:t>
      </w:r>
    </w:p>
    <w:p w14:paraId="7FB4106E" w14:textId="1D6B1E52" w:rsidR="00165D2C" w:rsidRPr="002E40EA" w:rsidRDefault="00165D2C" w:rsidP="009F5465">
      <w:pPr>
        <w:spacing w:after="0"/>
        <w:rPr>
          <w:sz w:val="10"/>
          <w:szCs w:val="10"/>
        </w:rPr>
      </w:pPr>
    </w:p>
    <w:p w14:paraId="31770369" w14:textId="3BD39E9A" w:rsidR="00D248B2" w:rsidRPr="002E40EA" w:rsidRDefault="00D248B2" w:rsidP="009F5465">
      <w:pPr>
        <w:spacing w:after="0"/>
        <w:rPr>
          <w:i/>
        </w:rPr>
      </w:pPr>
      <w:r w:rsidRPr="002E40EA">
        <w:rPr>
          <w:i/>
        </w:rPr>
        <w:t>Internal Network Interface X0</w:t>
      </w:r>
    </w:p>
    <w:p w14:paraId="40785B94" w14:textId="15780861" w:rsidR="00D248B2" w:rsidRPr="002E40EA" w:rsidRDefault="00F20A47" w:rsidP="009F5465">
      <w:pPr>
        <w:spacing w:after="0"/>
      </w:pPr>
      <w:r w:rsidRPr="002E40EA">
        <w:t>This work item describes t</w:t>
      </w:r>
      <w:r w:rsidR="00D248B2" w:rsidRPr="002E40EA">
        <w:t>he X0</w:t>
      </w:r>
      <w:r w:rsidRPr="002E40EA">
        <w:t xml:space="preserve">, </w:t>
      </w:r>
      <w:r w:rsidR="00D248B2" w:rsidRPr="002E40EA">
        <w:t xml:space="preserve">an electronic interface between a central LI administration function (ADMF) and any Element of LI (ELI) concerning the initial automation of configuration of ELIs covering </w:t>
      </w:r>
      <w:r w:rsidR="00D248B2" w:rsidRPr="002E40EA">
        <w:t xml:space="preserve">initial trust establishment </w:t>
      </w:r>
      <w:r w:rsidRPr="002E40EA">
        <w:t>and virtualized environments.</w:t>
      </w:r>
    </w:p>
    <w:p w14:paraId="203A790F" w14:textId="7E42F03D" w:rsidR="00F20A47" w:rsidRPr="002E40EA" w:rsidRDefault="00F20A47" w:rsidP="009F5465">
      <w:pPr>
        <w:spacing w:after="0"/>
        <w:rPr>
          <w:sz w:val="10"/>
          <w:szCs w:val="10"/>
        </w:rPr>
      </w:pPr>
    </w:p>
    <w:p w14:paraId="6907526A" w14:textId="776373FD" w:rsidR="00F20A47" w:rsidRPr="002E40EA" w:rsidRDefault="00F20A47" w:rsidP="009F5465">
      <w:pPr>
        <w:spacing w:after="0"/>
        <w:rPr>
          <w:i/>
        </w:rPr>
      </w:pPr>
      <w:r w:rsidRPr="002E40EA">
        <w:rPr>
          <w:i/>
        </w:rPr>
        <w:t>Lawful Interception Architecture</w:t>
      </w:r>
    </w:p>
    <w:p w14:paraId="5AE84E63" w14:textId="68E6396A" w:rsidR="00F20A47" w:rsidRPr="002E40EA" w:rsidRDefault="00F20A47" w:rsidP="009F5465">
      <w:pPr>
        <w:spacing w:after="0"/>
      </w:pPr>
      <w:r w:rsidRPr="002E40EA">
        <w:t xml:space="preserve">This work item </w:t>
      </w:r>
      <w:r w:rsidR="009A236D" w:rsidRPr="002E40EA">
        <w:t>was initiated as a</w:t>
      </w:r>
      <w:r w:rsidRPr="002E40EA">
        <w:t xml:space="preserve"> more secure architecture using attestation</w:t>
      </w:r>
      <w:r w:rsidR="009A236D" w:rsidRPr="002E40EA">
        <w:t xml:space="preserve"> but was broadened</w:t>
      </w:r>
      <w:r w:rsidR="001C0172" w:rsidRPr="002E40EA">
        <w:t xml:space="preserve"> to an architecture of the technical framework and components involved in facilitating lawful interception including governing</w:t>
      </w:r>
      <w:r w:rsidR="000333C1" w:rsidRPr="002E40EA">
        <w:t>,</w:t>
      </w:r>
      <w:r w:rsidR="001C0172" w:rsidRPr="002E40EA">
        <w:t xml:space="preserve"> roles and responsibilities</w:t>
      </w:r>
      <w:r w:rsidR="009A236D" w:rsidRPr="002E40EA">
        <w:t>.</w:t>
      </w:r>
    </w:p>
    <w:p w14:paraId="30C6AE75" w14:textId="77777777" w:rsidR="00254921" w:rsidRPr="002E40EA" w:rsidRDefault="00254921" w:rsidP="009F5465">
      <w:pPr>
        <w:spacing w:after="0"/>
      </w:pPr>
    </w:p>
    <w:p w14:paraId="21B1A45C" w14:textId="7CE83801" w:rsidR="00D248B2" w:rsidRPr="002E40EA" w:rsidRDefault="000333C1" w:rsidP="009F5465">
      <w:pPr>
        <w:spacing w:after="0"/>
        <w:rPr>
          <w:b/>
          <w:i/>
        </w:rPr>
      </w:pPr>
      <w:r w:rsidRPr="002E40EA">
        <w:rPr>
          <w:b/>
          <w:i/>
        </w:rPr>
        <w:t>JSON</w:t>
      </w:r>
    </w:p>
    <w:p w14:paraId="73B97439" w14:textId="7C26C538" w:rsidR="000333C1" w:rsidRPr="002E40EA" w:rsidRDefault="000333C1" w:rsidP="009F5465">
      <w:pPr>
        <w:spacing w:after="0"/>
      </w:pPr>
      <w:r w:rsidRPr="002E40EA">
        <w:t>JSON is accepted as encoding next to ASN.1 and XML. It has been added to TS 103 120</w:t>
      </w:r>
      <w:r w:rsidR="00254921" w:rsidRPr="002E40EA">
        <w:t xml:space="preserve"> </w:t>
      </w:r>
      <w:r w:rsidRPr="002E40EA">
        <w:rPr>
          <w:i/>
        </w:rPr>
        <w:t>In</w:t>
      </w:r>
      <w:r w:rsidR="00254921" w:rsidRPr="002E40EA">
        <w:rPr>
          <w:i/>
        </w:rPr>
        <w:t>terface for warrant information</w:t>
      </w:r>
      <w:r w:rsidRPr="002E40EA">
        <w:t xml:space="preserve"> and TS 103 280</w:t>
      </w:r>
      <w:r w:rsidR="00254921" w:rsidRPr="002E40EA">
        <w:t xml:space="preserve"> </w:t>
      </w:r>
      <w:r w:rsidRPr="002E40EA">
        <w:rPr>
          <w:i/>
        </w:rPr>
        <w:t>Dictionary for common parameters</w:t>
      </w:r>
      <w:r w:rsidR="00254921" w:rsidRPr="002E40EA">
        <w:t>.</w:t>
      </w:r>
    </w:p>
    <w:p w14:paraId="7626C4C1" w14:textId="5E209A87" w:rsidR="000333C1" w:rsidRPr="002E40EA" w:rsidRDefault="000333C1" w:rsidP="009F5465">
      <w:pPr>
        <w:spacing w:after="0"/>
      </w:pPr>
    </w:p>
    <w:p w14:paraId="23D525C1" w14:textId="77C3C843" w:rsidR="00A13777" w:rsidRPr="002E40EA" w:rsidRDefault="00A13777" w:rsidP="009F5465">
      <w:pPr>
        <w:spacing w:after="0"/>
        <w:rPr>
          <w:b/>
          <w:i/>
        </w:rPr>
      </w:pPr>
      <w:r w:rsidRPr="002E40EA">
        <w:rPr>
          <w:b/>
          <w:i/>
        </w:rPr>
        <w:t>CG-NAT</w:t>
      </w:r>
    </w:p>
    <w:p w14:paraId="2CE69D44" w14:textId="57957012" w:rsidR="00A13777" w:rsidRPr="002E40EA" w:rsidRDefault="00A13777" w:rsidP="009F5465">
      <w:pPr>
        <w:spacing w:after="0"/>
      </w:pPr>
      <w:r w:rsidRPr="002E40EA">
        <w:t>Work has been done to facilitate the delivery of IP-adderesses involved in CG-NAT in TS 102 232 part 1 and 3</w:t>
      </w:r>
    </w:p>
    <w:p w14:paraId="1AF940E0" w14:textId="673A9F26" w:rsidR="00A13777" w:rsidRPr="002E40EA" w:rsidRDefault="00A13777" w:rsidP="009F5465">
      <w:pPr>
        <w:spacing w:after="0"/>
      </w:pPr>
    </w:p>
    <w:p w14:paraId="4EF86379" w14:textId="674C4245" w:rsidR="00A13777" w:rsidRPr="002E40EA" w:rsidRDefault="00A13777" w:rsidP="009F5465">
      <w:pPr>
        <w:spacing w:after="0"/>
        <w:rPr>
          <w:b/>
          <w:i/>
        </w:rPr>
      </w:pPr>
      <w:r w:rsidRPr="002E40EA">
        <w:rPr>
          <w:b/>
          <w:i/>
        </w:rPr>
        <w:t>e-Evidence</w:t>
      </w:r>
    </w:p>
    <w:p w14:paraId="3AD7F1E3" w14:textId="7A5DC474" w:rsidR="00A13777" w:rsidRPr="002E40EA" w:rsidRDefault="00A13777" w:rsidP="009F5465">
      <w:pPr>
        <w:spacing w:after="0"/>
      </w:pPr>
      <w:r w:rsidRPr="002E40EA">
        <w:t xml:space="preserve">The preservation as part of the EU e-Evidence resulted in adding preservation </w:t>
      </w:r>
      <w:r w:rsidRPr="002E40EA">
        <w:t>next to LI and LD</w:t>
      </w:r>
      <w:r w:rsidRPr="002E40EA">
        <w:t xml:space="preserve"> </w:t>
      </w:r>
      <w:r w:rsidR="00FC1E56">
        <w:t>in</w:t>
      </w:r>
      <w:r w:rsidRPr="002E40EA">
        <w:t xml:space="preserve"> TS 103 120</w:t>
      </w:r>
      <w:r w:rsidR="00FC1E56">
        <w:t xml:space="preserve"> </w:t>
      </w:r>
      <w:r w:rsidRPr="00FC1E56">
        <w:rPr>
          <w:i/>
        </w:rPr>
        <w:t>Interface for warrant information</w:t>
      </w:r>
      <w:r w:rsidRPr="002E40EA">
        <w:t>.</w:t>
      </w:r>
    </w:p>
    <w:p w14:paraId="705425BD" w14:textId="6738BC71" w:rsidR="00A13777" w:rsidRPr="002E40EA" w:rsidRDefault="00A13777" w:rsidP="009F5465">
      <w:pPr>
        <w:spacing w:after="0"/>
      </w:pPr>
    </w:p>
    <w:p w14:paraId="06A233C4" w14:textId="5F9D7DE4" w:rsidR="00A13777" w:rsidRPr="002E40EA" w:rsidRDefault="007C03F4" w:rsidP="009F5465">
      <w:pPr>
        <w:spacing w:after="0"/>
        <w:rPr>
          <w:b/>
          <w:i/>
        </w:rPr>
      </w:pPr>
      <w:r w:rsidRPr="002E40EA">
        <w:rPr>
          <w:b/>
          <w:i/>
        </w:rPr>
        <w:t>X1</w:t>
      </w:r>
    </w:p>
    <w:p w14:paraId="37F387BE" w14:textId="3E6AAFAB" w:rsidR="007C03F4" w:rsidRPr="002E40EA" w:rsidRDefault="007C03F4" w:rsidP="009F5465">
      <w:pPr>
        <w:spacing w:after="0"/>
      </w:pPr>
      <w:r w:rsidRPr="002E40EA">
        <w:t xml:space="preserve">The capabilities of TS 103 221-1: </w:t>
      </w:r>
      <w:r w:rsidRPr="002E40EA">
        <w:rPr>
          <w:i/>
        </w:rPr>
        <w:t>Internal Network Interfaces; Part 1: X1</w:t>
      </w:r>
      <w:r w:rsidRPr="002E40EA">
        <w:t xml:space="preserve"> have been extended (Keep alive, Request Message Type Identification, Addition of Traffic Policies, stricter XSD).</w:t>
      </w:r>
    </w:p>
    <w:p w14:paraId="6FE6485D" w14:textId="1A077C8B" w:rsidR="009F5465" w:rsidRPr="002E40EA" w:rsidRDefault="009F5465" w:rsidP="009F5465">
      <w:pPr>
        <w:spacing w:after="0"/>
        <w:rPr>
          <w:highlight w:val="green"/>
        </w:rPr>
      </w:pPr>
    </w:p>
    <w:p w14:paraId="2C41994B" w14:textId="2C1CB7C3" w:rsidR="007C03F4" w:rsidRPr="002E40EA" w:rsidRDefault="007C03F4" w:rsidP="009F5465">
      <w:pPr>
        <w:spacing w:after="0"/>
        <w:rPr>
          <w:b/>
          <w:i/>
          <w:highlight w:val="green"/>
        </w:rPr>
      </w:pPr>
      <w:r w:rsidRPr="002E40EA">
        <w:rPr>
          <w:b/>
          <w:i/>
        </w:rPr>
        <w:t>Data Structures for Lawful Disclosure</w:t>
      </w:r>
    </w:p>
    <w:p w14:paraId="58DEEE9D" w14:textId="1EF5BFF9" w:rsidR="007C03F4" w:rsidRPr="002E40EA" w:rsidRDefault="007C03F4" w:rsidP="009F5465">
      <w:pPr>
        <w:spacing w:after="0"/>
      </w:pPr>
      <w:r w:rsidRPr="002E40EA">
        <w:t>The work on draft TS 103 705 is moving forward. Publication could be feaseble after the next plenary</w:t>
      </w:r>
      <w:r w:rsidR="00254921" w:rsidRPr="002E40EA">
        <w:t xml:space="preserve"> meeting.</w:t>
      </w:r>
    </w:p>
    <w:p w14:paraId="54D26F8C" w14:textId="797DEF90" w:rsidR="00254921" w:rsidRPr="002E40EA" w:rsidRDefault="00254921" w:rsidP="009F5465">
      <w:pPr>
        <w:spacing w:after="0"/>
      </w:pPr>
      <w:r w:rsidRPr="002E40EA">
        <w:t>TS 103 705 is looking at LD structures for clasical strongly standardised services. Where TS 103 707 is looking at LD for delivering typically not standardised services.</w:t>
      </w:r>
    </w:p>
    <w:p w14:paraId="11D71688" w14:textId="7A468448" w:rsidR="007C03F4" w:rsidRDefault="007C03F4" w:rsidP="009F5465">
      <w:pPr>
        <w:spacing w:after="0"/>
        <w:rPr>
          <w:highlight w:val="green"/>
        </w:rPr>
      </w:pPr>
    </w:p>
    <w:p w14:paraId="7E4DBEF4" w14:textId="77777777" w:rsidR="00FC1E56" w:rsidRPr="002E40EA" w:rsidRDefault="00FC1E56" w:rsidP="009F5465">
      <w:pPr>
        <w:spacing w:after="0"/>
        <w:rPr>
          <w:highlight w:val="green"/>
        </w:rPr>
      </w:pPr>
    </w:p>
    <w:p w14:paraId="707307CD" w14:textId="77777777" w:rsidR="009F5465" w:rsidRPr="002E40EA" w:rsidRDefault="009F5465" w:rsidP="009F5465">
      <w:pPr>
        <w:keepNext/>
        <w:spacing w:after="120"/>
        <w:rPr>
          <w:b/>
          <w:i/>
        </w:rPr>
      </w:pPr>
      <w:r w:rsidRPr="002E40EA">
        <w:rPr>
          <w:b/>
          <w:i/>
        </w:rPr>
        <w:t xml:space="preserve">Future Meetings </w:t>
      </w:r>
    </w:p>
    <w:tbl>
      <w:tblPr>
        <w:tblW w:w="9072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2126"/>
        <w:gridCol w:w="3402"/>
      </w:tblGrid>
      <w:tr w:rsidR="009F5465" w:rsidRPr="002E40EA" w14:paraId="4CEEB1A3" w14:textId="77777777" w:rsidTr="000821F3">
        <w:trPr>
          <w:cantSplit/>
          <w:trHeight w:val="415"/>
          <w:tblHeader/>
        </w:trPr>
        <w:tc>
          <w:tcPr>
            <w:tcW w:w="3544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FF3298" w14:textId="77777777" w:rsidR="009F5465" w:rsidRPr="002E40EA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i/>
                <w:lang w:eastAsia="nl-NL"/>
              </w:rPr>
            </w:pPr>
            <w:r w:rsidRPr="002E40EA">
              <w:rPr>
                <w:b/>
                <w:i/>
                <w:lang w:eastAsia="nl-NL"/>
              </w:rPr>
              <w:t>Date</w:t>
            </w:r>
          </w:p>
        </w:tc>
        <w:tc>
          <w:tcPr>
            <w:tcW w:w="2126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44B314" w14:textId="77777777" w:rsidR="009F5465" w:rsidRPr="002E40EA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bCs/>
                <w:i/>
                <w:lang w:eastAsia="nl-NL"/>
              </w:rPr>
            </w:pPr>
            <w:r w:rsidRPr="002E40EA">
              <w:rPr>
                <w:b/>
                <w:bCs/>
                <w:i/>
                <w:lang w:eastAsia="nl-NL"/>
              </w:rPr>
              <w:t>Meeting</w:t>
            </w:r>
          </w:p>
        </w:tc>
        <w:tc>
          <w:tcPr>
            <w:tcW w:w="3402" w:type="dxa"/>
            <w:shd w:val="clear" w:color="auto" w:fill="E0E0E0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A96F982" w14:textId="77777777" w:rsidR="009F5465" w:rsidRPr="002E40EA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b/>
                <w:bCs/>
                <w:i/>
                <w:lang w:eastAsia="nl-NL"/>
              </w:rPr>
            </w:pPr>
            <w:r w:rsidRPr="002E40EA">
              <w:rPr>
                <w:b/>
                <w:bCs/>
                <w:i/>
                <w:lang w:eastAsia="nl-NL"/>
              </w:rPr>
              <w:t>Location</w:t>
            </w:r>
          </w:p>
        </w:tc>
      </w:tr>
      <w:tr w:rsidR="009F5465" w:rsidRPr="002E40EA" w14:paraId="49FF3BD2" w14:textId="77777777" w:rsidTr="000821F3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76CB922" w14:textId="77777777" w:rsidR="009F5465" w:rsidRPr="002E40EA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2E40EA">
              <w:rPr>
                <w:rFonts w:eastAsia="Calibri"/>
              </w:rPr>
              <w:t>31 October - 2 November 2023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10731D6" w14:textId="77777777" w:rsidR="009F5465" w:rsidRPr="002E40EA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2E40EA">
              <w:rPr>
                <w:rFonts w:eastAsia="Calibri"/>
              </w:rPr>
              <w:t>TC LI#64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C0F821D" w14:textId="77777777" w:rsidR="009F5465" w:rsidRPr="002E40EA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2E40EA">
              <w:rPr>
                <w:rFonts w:eastAsia="Calibri"/>
              </w:rPr>
              <w:t>Sydney, Australia</w:t>
            </w:r>
          </w:p>
        </w:tc>
      </w:tr>
      <w:tr w:rsidR="009F5465" w:rsidRPr="002E40EA" w14:paraId="46742425" w14:textId="77777777" w:rsidTr="000821F3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FA6CFDA" w14:textId="098E7ABF" w:rsidR="009F5465" w:rsidRPr="002E40EA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2E40EA">
              <w:rPr>
                <w:rFonts w:eastAsia="Calibri"/>
              </w:rPr>
              <w:t>19</w:t>
            </w:r>
            <w:r w:rsidR="00FC1E56">
              <w:rPr>
                <w:rFonts w:eastAsia="Calibri"/>
              </w:rPr>
              <w:t xml:space="preserve"> </w:t>
            </w:r>
            <w:r w:rsidRPr="002E40EA">
              <w:rPr>
                <w:rFonts w:eastAsia="Calibri"/>
              </w:rPr>
              <w:t>-</w:t>
            </w:r>
            <w:r w:rsidR="00FC1E56">
              <w:rPr>
                <w:rFonts w:eastAsia="Calibri"/>
              </w:rPr>
              <w:t xml:space="preserve"> </w:t>
            </w:r>
            <w:r w:rsidRPr="002E40EA">
              <w:rPr>
                <w:rFonts w:eastAsia="Calibri"/>
              </w:rPr>
              <w:t>20 December 2023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D80B736" w14:textId="77777777" w:rsidR="009F5465" w:rsidRPr="002E40EA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2E40EA">
              <w:rPr>
                <w:rFonts w:eastAsia="Calibri"/>
              </w:rPr>
              <w:t>TC LI-Rap#63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01645D" w14:textId="77777777" w:rsidR="009F5465" w:rsidRPr="002E40EA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2E40EA">
              <w:rPr>
                <w:rFonts w:eastAsia="Calibri"/>
              </w:rPr>
              <w:t>Berlin, Germany</w:t>
            </w:r>
          </w:p>
        </w:tc>
      </w:tr>
      <w:tr w:rsidR="009F5465" w:rsidRPr="002E40EA" w14:paraId="28536F93" w14:textId="77777777" w:rsidTr="000821F3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09B69B1" w14:textId="5097979D" w:rsidR="009F5465" w:rsidRPr="002E40EA" w:rsidRDefault="00FC1E56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 xml:space="preserve">6 - </w:t>
            </w:r>
            <w:r w:rsidR="009F5465" w:rsidRPr="002E40EA">
              <w:rPr>
                <w:rFonts w:eastAsia="Calibri"/>
              </w:rPr>
              <w:t>8 Feb</w:t>
            </w:r>
            <w:r w:rsidR="00955E72" w:rsidRPr="002E40EA">
              <w:rPr>
                <w:rFonts w:eastAsia="Calibri"/>
              </w:rPr>
              <w:t>ruary</w:t>
            </w:r>
            <w:r w:rsidR="009F5465" w:rsidRPr="002E40EA">
              <w:rPr>
                <w:rFonts w:eastAsia="Calibri"/>
              </w:rPr>
              <w:t xml:space="preserve"> 2024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532ABBB" w14:textId="77777777" w:rsidR="009F5465" w:rsidRPr="002E40EA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2E40EA">
              <w:rPr>
                <w:rFonts w:eastAsia="Calibri"/>
              </w:rPr>
              <w:t>TC LI#65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3F2E54C" w14:textId="77777777" w:rsidR="009F5465" w:rsidRPr="002E40EA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2E40EA">
              <w:rPr>
                <w:rFonts w:eastAsia="Calibri"/>
              </w:rPr>
              <w:t>Saariselkä, Finland</w:t>
            </w:r>
          </w:p>
        </w:tc>
      </w:tr>
      <w:tr w:rsidR="009F5465" w:rsidRPr="002E40EA" w14:paraId="512E5E1E" w14:textId="77777777" w:rsidTr="000821F3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3EC2183" w14:textId="39F77D19" w:rsidR="009F5465" w:rsidRPr="002E40EA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2E40EA">
              <w:rPr>
                <w:rFonts w:eastAsia="Calibri"/>
              </w:rPr>
              <w:t>18</w:t>
            </w:r>
            <w:r w:rsidR="00FC1E56">
              <w:rPr>
                <w:rFonts w:eastAsia="Calibri"/>
              </w:rPr>
              <w:t xml:space="preserve"> </w:t>
            </w:r>
            <w:r w:rsidRPr="002E40EA">
              <w:rPr>
                <w:rFonts w:eastAsia="Calibri"/>
              </w:rPr>
              <w:t>-</w:t>
            </w:r>
            <w:r w:rsidR="00FC1E56">
              <w:rPr>
                <w:rFonts w:eastAsia="Calibri"/>
              </w:rPr>
              <w:t xml:space="preserve"> </w:t>
            </w:r>
            <w:r w:rsidRPr="002E40EA">
              <w:rPr>
                <w:rFonts w:eastAsia="Calibri"/>
              </w:rPr>
              <w:t>20 June 2024 (TBC)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4CE6087" w14:textId="77777777" w:rsidR="009F5465" w:rsidRPr="002E40EA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2E40EA">
              <w:rPr>
                <w:rFonts w:eastAsia="Calibri"/>
              </w:rPr>
              <w:t>TC LI#66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59EEE3" w14:textId="552ADE01" w:rsidR="009F5465" w:rsidRPr="002E40EA" w:rsidRDefault="00955E72" w:rsidP="00955E72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2E40EA">
              <w:rPr>
                <w:rFonts w:eastAsia="Calibri"/>
              </w:rPr>
              <w:t>Switzerland (TBC)</w:t>
            </w:r>
          </w:p>
        </w:tc>
      </w:tr>
      <w:tr w:rsidR="009F5465" w:rsidRPr="002E40EA" w14:paraId="76BF19DC" w14:textId="77777777" w:rsidTr="000821F3">
        <w:trPr>
          <w:cantSplit/>
        </w:trPr>
        <w:tc>
          <w:tcPr>
            <w:tcW w:w="35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ADD9536" w14:textId="620027D2" w:rsidR="009F5465" w:rsidRPr="002E40EA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2E40EA">
              <w:rPr>
                <w:rFonts w:eastAsia="Calibri"/>
              </w:rPr>
              <w:t>22</w:t>
            </w:r>
            <w:r w:rsidR="00FC1E56">
              <w:rPr>
                <w:rFonts w:eastAsia="Calibri"/>
              </w:rPr>
              <w:t xml:space="preserve"> </w:t>
            </w:r>
            <w:r w:rsidRPr="002E40EA">
              <w:rPr>
                <w:rFonts w:eastAsia="Calibri"/>
              </w:rPr>
              <w:t>-</w:t>
            </w:r>
            <w:r w:rsidR="00FC1E56">
              <w:rPr>
                <w:rFonts w:eastAsia="Calibri"/>
              </w:rPr>
              <w:t xml:space="preserve"> </w:t>
            </w:r>
            <w:bookmarkStart w:id="0" w:name="_GoBack"/>
            <w:bookmarkEnd w:id="0"/>
            <w:r w:rsidRPr="002E40EA">
              <w:rPr>
                <w:rFonts w:eastAsia="Calibri"/>
              </w:rPr>
              <w:t>24 Oct</w:t>
            </w:r>
            <w:r w:rsidR="00955E72" w:rsidRPr="002E40EA">
              <w:rPr>
                <w:rFonts w:eastAsia="Calibri"/>
              </w:rPr>
              <w:t>ober</w:t>
            </w:r>
            <w:r w:rsidRPr="002E40EA">
              <w:rPr>
                <w:rFonts w:eastAsia="Calibri"/>
              </w:rPr>
              <w:t xml:space="preserve"> 2024 (TBC)</w:t>
            </w:r>
          </w:p>
        </w:tc>
        <w:tc>
          <w:tcPr>
            <w:tcW w:w="212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1B24389" w14:textId="77777777" w:rsidR="009F5465" w:rsidRPr="002E40EA" w:rsidRDefault="009F5465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2E40EA">
              <w:rPr>
                <w:rFonts w:eastAsia="Calibri"/>
              </w:rPr>
              <w:t>TC LI#67</w:t>
            </w:r>
          </w:p>
        </w:tc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ED5AF9E" w14:textId="1B3079D0" w:rsidR="009F5465" w:rsidRPr="002E40EA" w:rsidRDefault="00955E72" w:rsidP="000821F3">
            <w:pPr>
              <w:keepNext/>
              <w:keepLines/>
              <w:tabs>
                <w:tab w:val="left" w:pos="426"/>
              </w:tabs>
              <w:spacing w:after="0"/>
              <w:jc w:val="center"/>
              <w:rPr>
                <w:rFonts w:eastAsia="Calibri"/>
              </w:rPr>
            </w:pPr>
            <w:r w:rsidRPr="002E40EA">
              <w:rPr>
                <w:rFonts w:eastAsia="Calibri"/>
              </w:rPr>
              <w:t>Canada (TBC)</w:t>
            </w:r>
          </w:p>
        </w:tc>
      </w:tr>
    </w:tbl>
    <w:p w14:paraId="1C50087B" w14:textId="77777777" w:rsidR="009F5465" w:rsidRPr="002E40EA" w:rsidRDefault="009F5465" w:rsidP="009F5465"/>
    <w:sectPr w:rsidR="009F5465" w:rsidRPr="002E40E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FC4597" w14:textId="77777777" w:rsidR="00FE05A5" w:rsidRDefault="00FE05A5">
      <w:r>
        <w:separator/>
      </w:r>
    </w:p>
  </w:endnote>
  <w:endnote w:type="continuationSeparator" w:id="0">
    <w:p w14:paraId="5700E598" w14:textId="77777777" w:rsidR="00FE05A5" w:rsidRDefault="00FE05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3CA07E" w14:textId="77777777" w:rsidR="00FE05A5" w:rsidRDefault="00FE05A5">
      <w:r>
        <w:separator/>
      </w:r>
    </w:p>
  </w:footnote>
  <w:footnote w:type="continuationSeparator" w:id="0">
    <w:p w14:paraId="03242E5C" w14:textId="77777777" w:rsidR="00FE05A5" w:rsidRDefault="00FE05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173D58"/>
    <w:multiLevelType w:val="hybridMultilevel"/>
    <w:tmpl w:val="4F2A72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hideSpelling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131078" w:nlCheck="1" w:checkStyle="0"/>
  <w:activeWritingStyle w:appName="MSWord" w:lang="en-GB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3B44"/>
    <w:rsid w:val="00014F27"/>
    <w:rsid w:val="00025A52"/>
    <w:rsid w:val="000333C1"/>
    <w:rsid w:val="00051237"/>
    <w:rsid w:val="000556A9"/>
    <w:rsid w:val="000A62B2"/>
    <w:rsid w:val="000B4A8C"/>
    <w:rsid w:val="000C624D"/>
    <w:rsid w:val="001423AC"/>
    <w:rsid w:val="001613FF"/>
    <w:rsid w:val="00163D53"/>
    <w:rsid w:val="00164AFB"/>
    <w:rsid w:val="00165D2C"/>
    <w:rsid w:val="001776A2"/>
    <w:rsid w:val="001A2D80"/>
    <w:rsid w:val="001B194D"/>
    <w:rsid w:val="001C0172"/>
    <w:rsid w:val="001E1F9E"/>
    <w:rsid w:val="00202823"/>
    <w:rsid w:val="0022613A"/>
    <w:rsid w:val="00254921"/>
    <w:rsid w:val="002625AA"/>
    <w:rsid w:val="00264F01"/>
    <w:rsid w:val="002772DB"/>
    <w:rsid w:val="002A1FB5"/>
    <w:rsid w:val="002D326B"/>
    <w:rsid w:val="002E14B3"/>
    <w:rsid w:val="002E40EA"/>
    <w:rsid w:val="00314AC8"/>
    <w:rsid w:val="0033425B"/>
    <w:rsid w:val="00356F0A"/>
    <w:rsid w:val="00390D62"/>
    <w:rsid w:val="003A0618"/>
    <w:rsid w:val="003B301B"/>
    <w:rsid w:val="003F5ACF"/>
    <w:rsid w:val="00431D0E"/>
    <w:rsid w:val="00440DAB"/>
    <w:rsid w:val="00466735"/>
    <w:rsid w:val="004960D7"/>
    <w:rsid w:val="004A5B46"/>
    <w:rsid w:val="005147F8"/>
    <w:rsid w:val="00531916"/>
    <w:rsid w:val="00555BEA"/>
    <w:rsid w:val="00560999"/>
    <w:rsid w:val="00597F29"/>
    <w:rsid w:val="005F345F"/>
    <w:rsid w:val="00616038"/>
    <w:rsid w:val="00652A8B"/>
    <w:rsid w:val="00660DFB"/>
    <w:rsid w:val="006801A0"/>
    <w:rsid w:val="006E0ABF"/>
    <w:rsid w:val="006E31B4"/>
    <w:rsid w:val="00746402"/>
    <w:rsid w:val="00755C4B"/>
    <w:rsid w:val="00760D56"/>
    <w:rsid w:val="007612FA"/>
    <w:rsid w:val="007C03F4"/>
    <w:rsid w:val="007F0ABD"/>
    <w:rsid w:val="008002A6"/>
    <w:rsid w:val="00816D90"/>
    <w:rsid w:val="00844ECE"/>
    <w:rsid w:val="0085730C"/>
    <w:rsid w:val="0087284D"/>
    <w:rsid w:val="008A427C"/>
    <w:rsid w:val="00921387"/>
    <w:rsid w:val="00936152"/>
    <w:rsid w:val="00943B5B"/>
    <w:rsid w:val="0094657C"/>
    <w:rsid w:val="00955E72"/>
    <w:rsid w:val="00973B44"/>
    <w:rsid w:val="009A236D"/>
    <w:rsid w:val="009A2621"/>
    <w:rsid w:val="009E608E"/>
    <w:rsid w:val="009F5465"/>
    <w:rsid w:val="00A13777"/>
    <w:rsid w:val="00A92EA7"/>
    <w:rsid w:val="00A96779"/>
    <w:rsid w:val="00AE700A"/>
    <w:rsid w:val="00B1095D"/>
    <w:rsid w:val="00B42781"/>
    <w:rsid w:val="00B47ABC"/>
    <w:rsid w:val="00B64397"/>
    <w:rsid w:val="00B7454D"/>
    <w:rsid w:val="00B7791C"/>
    <w:rsid w:val="00BE39A0"/>
    <w:rsid w:val="00C03E64"/>
    <w:rsid w:val="00C46E49"/>
    <w:rsid w:val="00C53210"/>
    <w:rsid w:val="00C67574"/>
    <w:rsid w:val="00C91A41"/>
    <w:rsid w:val="00C951B3"/>
    <w:rsid w:val="00CC7F50"/>
    <w:rsid w:val="00CD11A4"/>
    <w:rsid w:val="00CE4176"/>
    <w:rsid w:val="00D248B2"/>
    <w:rsid w:val="00D27BF9"/>
    <w:rsid w:val="00D65136"/>
    <w:rsid w:val="00D96DBC"/>
    <w:rsid w:val="00DA5721"/>
    <w:rsid w:val="00DC11F5"/>
    <w:rsid w:val="00DC6CDD"/>
    <w:rsid w:val="00DD65AE"/>
    <w:rsid w:val="00DE5907"/>
    <w:rsid w:val="00E06F2D"/>
    <w:rsid w:val="00E40B4B"/>
    <w:rsid w:val="00E62ACE"/>
    <w:rsid w:val="00E701E0"/>
    <w:rsid w:val="00E8526A"/>
    <w:rsid w:val="00EA6EFF"/>
    <w:rsid w:val="00EB0942"/>
    <w:rsid w:val="00F20A47"/>
    <w:rsid w:val="00FC1E56"/>
    <w:rsid w:val="00FE05A5"/>
    <w:rsid w:val="00FE3F0B"/>
    <w:rsid w:val="00FF6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4B4469"/>
  <w15:chartTrackingRefBased/>
  <w15:docId w15:val="{064FD83A-A047-4E53-AD41-81D4BCD95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Kop1">
    <w:name w:val="heading 1"/>
    <w:next w:val="Standa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Kop2">
    <w:name w:val="heading 2"/>
    <w:aliases w:val="H2,h2,2nd level,†berschrift 2,õberschrift 2,UNDERRUBRIK 1-2"/>
    <w:basedOn w:val="Kop1"/>
    <w:next w:val="Standa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Kop3">
    <w:name w:val="heading 3"/>
    <w:aliases w:val="h3"/>
    <w:basedOn w:val="Kop2"/>
    <w:next w:val="Standaard"/>
    <w:qFormat/>
    <w:pPr>
      <w:spacing w:before="120"/>
      <w:outlineLvl w:val="2"/>
    </w:pPr>
    <w:rPr>
      <w:sz w:val="28"/>
    </w:rPr>
  </w:style>
  <w:style w:type="paragraph" w:styleId="Kop4">
    <w:name w:val="heading 4"/>
    <w:basedOn w:val="Kop3"/>
    <w:next w:val="Standaard"/>
    <w:qFormat/>
    <w:pPr>
      <w:ind w:left="1418" w:hanging="1418"/>
      <w:outlineLvl w:val="3"/>
    </w:pPr>
    <w:rPr>
      <w:sz w:val="24"/>
    </w:rPr>
  </w:style>
  <w:style w:type="paragraph" w:styleId="Kop5">
    <w:name w:val="heading 5"/>
    <w:basedOn w:val="Kop4"/>
    <w:next w:val="Standaard"/>
    <w:qFormat/>
    <w:pPr>
      <w:ind w:left="1701" w:hanging="1701"/>
      <w:outlineLvl w:val="4"/>
    </w:pPr>
    <w:rPr>
      <w:sz w:val="22"/>
    </w:rPr>
  </w:style>
  <w:style w:type="paragraph" w:styleId="Kop6">
    <w:name w:val="heading 6"/>
    <w:basedOn w:val="H6"/>
    <w:next w:val="Standaard"/>
    <w:qFormat/>
    <w:pPr>
      <w:outlineLvl w:val="5"/>
    </w:pPr>
  </w:style>
  <w:style w:type="paragraph" w:styleId="Kop7">
    <w:name w:val="heading 7"/>
    <w:basedOn w:val="H6"/>
    <w:next w:val="Standaard"/>
    <w:qFormat/>
    <w:pPr>
      <w:outlineLvl w:val="6"/>
    </w:pPr>
  </w:style>
  <w:style w:type="paragraph" w:styleId="Kop8">
    <w:name w:val="heading 8"/>
    <w:basedOn w:val="Kop1"/>
    <w:next w:val="Standaard"/>
    <w:qFormat/>
    <w:pPr>
      <w:ind w:left="0" w:firstLine="0"/>
      <w:outlineLvl w:val="7"/>
    </w:pPr>
  </w:style>
  <w:style w:type="paragraph" w:styleId="Kop9">
    <w:name w:val="heading 9"/>
    <w:basedOn w:val="Kop8"/>
    <w:next w:val="Standaard"/>
    <w:qFormat/>
    <w:pPr>
      <w:outlineLvl w:val="8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6">
    <w:name w:val="H6"/>
    <w:basedOn w:val="Kop5"/>
    <w:next w:val="Standaard"/>
    <w:pPr>
      <w:ind w:left="1985" w:hanging="1985"/>
      <w:outlineLvl w:val="9"/>
    </w:pPr>
    <w:rPr>
      <w:sz w:val="20"/>
    </w:rPr>
  </w:style>
  <w:style w:type="paragraph" w:styleId="Inhopg8">
    <w:name w:val="toc 8"/>
    <w:basedOn w:val="Inhopg1"/>
    <w:semiHidden/>
    <w:pPr>
      <w:spacing w:before="180"/>
      <w:ind w:left="2693" w:hanging="2693"/>
    </w:pPr>
    <w:rPr>
      <w:b/>
    </w:rPr>
  </w:style>
  <w:style w:type="paragraph" w:styleId="Inhopg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Inhopg5">
    <w:name w:val="toc 5"/>
    <w:basedOn w:val="Inhopg4"/>
    <w:semiHidden/>
    <w:pPr>
      <w:ind w:left="1701" w:hanging="1701"/>
    </w:pPr>
  </w:style>
  <w:style w:type="paragraph" w:styleId="Inhopg4">
    <w:name w:val="toc 4"/>
    <w:basedOn w:val="Inhopg3"/>
    <w:semiHidden/>
    <w:pPr>
      <w:ind w:left="1418" w:hanging="1418"/>
    </w:pPr>
  </w:style>
  <w:style w:type="paragraph" w:styleId="Inhopg3">
    <w:name w:val="toc 3"/>
    <w:basedOn w:val="Inhopg2"/>
    <w:semiHidden/>
    <w:pPr>
      <w:ind w:left="1134" w:hanging="1134"/>
    </w:pPr>
  </w:style>
  <w:style w:type="paragraph" w:styleId="Inhopg2">
    <w:name w:val="toc 2"/>
    <w:basedOn w:val="Inhopg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Kop1"/>
    <w:next w:val="Standaard"/>
    <w:pPr>
      <w:outlineLvl w:val="9"/>
    </w:pPr>
  </w:style>
  <w:style w:type="paragraph" w:styleId="Lijstnummering2">
    <w:name w:val="List Number 2"/>
    <w:basedOn w:val="Lijstnummering"/>
    <w:pPr>
      <w:ind w:left="851"/>
    </w:pPr>
  </w:style>
  <w:style w:type="paragraph" w:styleId="Lijstnummering">
    <w:name w:val="List Number"/>
    <w:basedOn w:val="Lijst"/>
  </w:style>
  <w:style w:type="paragraph" w:styleId="Lijst">
    <w:name w:val="List"/>
    <w:basedOn w:val="Standaard"/>
    <w:pPr>
      <w:ind w:left="568" w:hanging="284"/>
    </w:pPr>
  </w:style>
  <w:style w:type="paragraph" w:styleId="Koptekst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Voetnootmarkering">
    <w:name w:val="footnote reference"/>
    <w:semiHidden/>
    <w:rPr>
      <w:b/>
      <w:position w:val="6"/>
      <w:sz w:val="16"/>
    </w:rPr>
  </w:style>
  <w:style w:type="paragraph" w:styleId="Voetnoottekst">
    <w:name w:val="footnote text"/>
    <w:basedOn w:val="Standa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Standaar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Standa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Standaard"/>
    <w:pPr>
      <w:keepLines/>
      <w:ind w:left="1135" w:hanging="851"/>
    </w:pPr>
  </w:style>
  <w:style w:type="paragraph" w:styleId="Inhopg9">
    <w:name w:val="toc 9"/>
    <w:basedOn w:val="Inhopg8"/>
    <w:semiHidden/>
    <w:pPr>
      <w:ind w:left="1418" w:hanging="1418"/>
    </w:pPr>
  </w:style>
  <w:style w:type="paragraph" w:customStyle="1" w:styleId="EX">
    <w:name w:val="EX"/>
    <w:basedOn w:val="Standaard"/>
    <w:pPr>
      <w:keepLines/>
      <w:ind w:left="1702" w:hanging="1418"/>
    </w:pPr>
  </w:style>
  <w:style w:type="paragraph" w:customStyle="1" w:styleId="FP">
    <w:name w:val="FP"/>
    <w:basedOn w:val="Standa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Inhopg6">
    <w:name w:val="toc 6"/>
    <w:basedOn w:val="Inhopg5"/>
    <w:next w:val="Standaard"/>
    <w:semiHidden/>
    <w:pPr>
      <w:ind w:left="1985" w:hanging="1985"/>
    </w:pPr>
  </w:style>
  <w:style w:type="paragraph" w:styleId="Inhopg7">
    <w:name w:val="toc 7"/>
    <w:basedOn w:val="Inhopg6"/>
    <w:next w:val="Standaard"/>
    <w:semiHidden/>
    <w:pPr>
      <w:ind w:left="2268" w:hanging="2268"/>
    </w:pPr>
  </w:style>
  <w:style w:type="paragraph" w:styleId="Lijstopsomteken2">
    <w:name w:val="List Bullet 2"/>
    <w:basedOn w:val="Lijstopsomteken"/>
    <w:pPr>
      <w:ind w:left="851"/>
    </w:pPr>
  </w:style>
  <w:style w:type="paragraph" w:styleId="Lijstopsomteken">
    <w:name w:val="List Bullet"/>
    <w:basedOn w:val="Lijst"/>
  </w:style>
  <w:style w:type="paragraph" w:styleId="Lijstopsomteken3">
    <w:name w:val="List Bullet 3"/>
    <w:basedOn w:val="Lijstopsomteken2"/>
    <w:pPr>
      <w:ind w:left="1135"/>
    </w:pPr>
  </w:style>
  <w:style w:type="paragraph" w:customStyle="1" w:styleId="EQ">
    <w:name w:val="EQ"/>
    <w:basedOn w:val="Standaard"/>
    <w:next w:val="Standa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jst2">
    <w:name w:val="List 2"/>
    <w:basedOn w:val="Lij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jst3">
    <w:name w:val="List 3"/>
    <w:basedOn w:val="Lijst2"/>
    <w:pPr>
      <w:ind w:left="1135"/>
    </w:pPr>
  </w:style>
  <w:style w:type="paragraph" w:styleId="Lijst4">
    <w:name w:val="List 4"/>
    <w:basedOn w:val="Lijst3"/>
    <w:pPr>
      <w:ind w:left="1418"/>
    </w:pPr>
  </w:style>
  <w:style w:type="paragraph" w:styleId="Lijst5">
    <w:name w:val="List 5"/>
    <w:basedOn w:val="Lij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jstopsomteken4">
    <w:name w:val="List Bullet 4"/>
    <w:basedOn w:val="Lijstopsomteken3"/>
    <w:pPr>
      <w:ind w:left="1418"/>
    </w:pPr>
  </w:style>
  <w:style w:type="paragraph" w:styleId="Lijstopsomteken5">
    <w:name w:val="List Bullet 5"/>
    <w:basedOn w:val="Lijstopsomteken4"/>
    <w:pPr>
      <w:ind w:left="1702"/>
    </w:pPr>
  </w:style>
  <w:style w:type="paragraph" w:customStyle="1" w:styleId="B1">
    <w:name w:val="B1"/>
    <w:basedOn w:val="Lijst"/>
  </w:style>
  <w:style w:type="paragraph" w:customStyle="1" w:styleId="B2">
    <w:name w:val="B2"/>
    <w:basedOn w:val="Lijst2"/>
  </w:style>
  <w:style w:type="paragraph" w:customStyle="1" w:styleId="B3">
    <w:name w:val="B3"/>
    <w:basedOn w:val="Lijst3"/>
  </w:style>
  <w:style w:type="paragraph" w:customStyle="1" w:styleId="B4">
    <w:name w:val="B4"/>
    <w:basedOn w:val="Lijst4"/>
  </w:style>
  <w:style w:type="paragraph" w:customStyle="1" w:styleId="B5">
    <w:name w:val="B5"/>
    <w:basedOn w:val="Lijst5"/>
  </w:style>
  <w:style w:type="paragraph" w:styleId="Voettekst">
    <w:name w:val="footer"/>
    <w:basedOn w:val="Koptekst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Verwijzingopmerking">
    <w:name w:val="annotation reference"/>
    <w:semiHidden/>
    <w:rPr>
      <w:sz w:val="16"/>
    </w:rPr>
  </w:style>
  <w:style w:type="paragraph" w:styleId="Tekstopmerking">
    <w:name w:val="annotation text"/>
    <w:basedOn w:val="Standaard"/>
    <w:semiHidden/>
  </w:style>
  <w:style w:type="character" w:styleId="GevolgdeHyperlink">
    <w:name w:val="FollowedHyperlink"/>
    <w:rPr>
      <w:color w:val="800080"/>
      <w:u w:val="single"/>
    </w:rPr>
  </w:style>
  <w:style w:type="paragraph" w:styleId="Ballontekst">
    <w:name w:val="Balloon Text"/>
    <w:basedOn w:val="Standaard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Standaar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Standaardalinea-lettertyp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9E90606-2389-4C27-8691-DD70BC710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3081C69-14B1-4A0D-AF26-0F2ABAEC91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C3FA60-9D86-409D-8343-05E852F8C20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399</Words>
  <Characters>2198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LAP020503</cp:lastModifiedBy>
  <cp:revision>10</cp:revision>
  <cp:lastPrinted>1899-12-31T23:00:00Z</cp:lastPrinted>
  <dcterms:created xsi:type="dcterms:W3CDTF">2023-06-23T16:38:00Z</dcterms:created>
  <dcterms:modified xsi:type="dcterms:W3CDTF">2023-06-26T13:18:00Z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